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03C" w:rsidRPr="00BE725F" w:rsidRDefault="00F3003C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73BF5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DF4722" w:rsidRPr="00BE725F" w:rsidRDefault="00DF4722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 W ZAKRESIE UPOWSZECHNIANIA KULTURY FIZYCZNEJ</w:t>
      </w:r>
    </w:p>
    <w:p w:rsidR="00673BF5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C1780" w:rsidRPr="00BE725F" w:rsidRDefault="009C1780" w:rsidP="009C178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9C1780" w:rsidRPr="00BE725F" w:rsidRDefault="009C1780" w:rsidP="009C178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801C7D" w:rsidRPr="00B04AD7">
        <w:rPr>
          <w:rFonts w:ascii="Arial" w:hAnsi="Arial" w:cs="Arial"/>
          <w:b/>
          <w:sz w:val="20"/>
        </w:rPr>
        <w:t>Organizacja imprez sportowo-rekreacyjnych na terenie Gminy Miasto Szczecin</w:t>
      </w:r>
      <w:r>
        <w:rPr>
          <w:rFonts w:ascii="Arial" w:hAnsi="Arial" w:cs="Arial"/>
          <w:b/>
          <w:sz w:val="20"/>
          <w:szCs w:val="20"/>
        </w:rPr>
        <w:t>”</w:t>
      </w:r>
      <w:r w:rsidR="00801C7D">
        <w:rPr>
          <w:rFonts w:ascii="Arial" w:hAnsi="Arial" w:cs="Arial"/>
          <w:b/>
          <w:sz w:val="20"/>
          <w:szCs w:val="20"/>
        </w:rPr>
        <w:t>.</w:t>
      </w:r>
    </w:p>
    <w:p w:rsidR="009C1780" w:rsidRDefault="009C1780" w:rsidP="009C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F4722" w:rsidRPr="00673BF5" w:rsidRDefault="00DF4722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odnowy biologicznej,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 członkowskich, licencji, opłaty startowych,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ekwiwalentu szkoleniowego (związanego z zmianą barw klubowych),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usług poligraficznych (materiały szkoleniowe i promocyjne),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DF4722" w:rsidRPr="002F4A2B" w:rsidRDefault="00DF4722" w:rsidP="00DF472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F7ECD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F472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F472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F472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F472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Pr="00175D53" w:rsidRDefault="00DF4722" w:rsidP="00DF4722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lastRenderedPageBreak/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7F7ECD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DF4722" w:rsidRDefault="00DF4722" w:rsidP="00DF472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A07AB" w:rsidRP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i bezosobowe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Pr="00DF4722">
        <w:rPr>
          <w:rFonts w:ascii="Arial" w:hAnsi="Arial" w:cs="Arial"/>
          <w:sz w:val="20"/>
          <w:szCs w:val="20"/>
        </w:rPr>
        <w:t>kwoty przyznanej dotacji ( nie dotyczy stypendiów sportowych).</w:t>
      </w:r>
    </w:p>
    <w:sectPr w:rsidR="00FA07AB" w:rsidRPr="00DF4722" w:rsidSect="00D102AC">
      <w:pgSz w:w="11906" w:h="16838"/>
      <w:pgMar w:top="241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09D"/>
    <w:multiLevelType w:val="hybridMultilevel"/>
    <w:tmpl w:val="5F8A8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D0A8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175D53"/>
    <w:rsid w:val="002D741E"/>
    <w:rsid w:val="002F4A2B"/>
    <w:rsid w:val="003C2C3B"/>
    <w:rsid w:val="00673BF5"/>
    <w:rsid w:val="007F7ECD"/>
    <w:rsid w:val="00801C7D"/>
    <w:rsid w:val="009C1780"/>
    <w:rsid w:val="00A663AF"/>
    <w:rsid w:val="00A72EBC"/>
    <w:rsid w:val="00AF6685"/>
    <w:rsid w:val="00BD7F86"/>
    <w:rsid w:val="00D102AC"/>
    <w:rsid w:val="00DF4722"/>
    <w:rsid w:val="00F3003C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6</cp:revision>
  <cp:lastPrinted>2017-12-12T13:17:00Z</cp:lastPrinted>
  <dcterms:created xsi:type="dcterms:W3CDTF">2016-12-12T11:19:00Z</dcterms:created>
  <dcterms:modified xsi:type="dcterms:W3CDTF">2017-12-18T08:37:00Z</dcterms:modified>
</cp:coreProperties>
</file>